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  <w:lang w:val="en-US"/>
        </w:rPr>
      </w:pPr>
      <w:r w:rsidRPr="007F3C30">
        <w:rPr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-104273</wp:posOffset>
            </wp:positionH>
            <wp:positionV relativeFrom="paragraph">
              <wp:posOffset>-216568</wp:posOffset>
            </wp:positionV>
            <wp:extent cx="2340820" cy="1427747"/>
            <wp:effectExtent l="0" t="0" r="254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33" cy="142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  <w:lang w:val="en-US"/>
        </w:rPr>
      </w:pPr>
    </w:p>
    <w:p w:rsidR="00764BD5" w:rsidRP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 w:rsidRPr="00E35FF2"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>Конкретные шаги (проекты) по выработке общественного сознания</w:t>
      </w:r>
    </w:p>
    <w:p w:rsidR="00E35FF2" w:rsidRP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40"/>
          <w:szCs w:val="40"/>
        </w:rPr>
      </w:pPr>
    </w:p>
    <w:p w:rsidR="00E35FF2" w:rsidRPr="00E35FF2" w:rsidRDefault="00E35FF2" w:rsidP="00E35FF2">
      <w:pPr>
        <w:pStyle w:val="a3"/>
        <w:numPr>
          <w:ilvl w:val="0"/>
          <w:numId w:val="1"/>
        </w:numPr>
        <w:spacing w:line="360" w:lineRule="auto"/>
        <w:rPr>
          <w:color w:val="5FCBEF"/>
          <w:sz w:val="48"/>
          <w:szCs w:val="48"/>
        </w:rPr>
      </w:pP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1. Поэтапный переход казахского языка на латиницу</w:t>
      </w:r>
    </w:p>
    <w:p w:rsidR="00E35FF2" w:rsidRPr="00E35FF2" w:rsidRDefault="00E35FF2" w:rsidP="00E35FF2">
      <w:pPr>
        <w:pStyle w:val="a3"/>
        <w:numPr>
          <w:ilvl w:val="0"/>
          <w:numId w:val="1"/>
        </w:numPr>
        <w:spacing w:line="360" w:lineRule="auto"/>
        <w:rPr>
          <w:color w:val="5FCBEF"/>
          <w:sz w:val="48"/>
          <w:szCs w:val="48"/>
        </w:rPr>
      </w:pP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2. «Новое гуманитарное знание, 100 новых учебников на казахском языке»</w:t>
      </w:r>
    </w:p>
    <w:p w:rsidR="00E35FF2" w:rsidRPr="00E35FF2" w:rsidRDefault="00E35FF2" w:rsidP="00E35FF2">
      <w:pPr>
        <w:pStyle w:val="a3"/>
        <w:numPr>
          <w:ilvl w:val="0"/>
          <w:numId w:val="1"/>
        </w:numPr>
        <w:spacing w:line="360" w:lineRule="auto"/>
        <w:rPr>
          <w:color w:val="5FCBEF"/>
          <w:sz w:val="48"/>
          <w:szCs w:val="48"/>
        </w:rPr>
      </w:pP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3. Программа «Ту</w:t>
      </w:r>
      <w:r w:rsidRPr="00E35FF2">
        <w:rPr>
          <w:rFonts w:ascii="Arial" w:eastAsia="+mn-ea" w:hAnsi="Arial" w:cs="Arial"/>
          <w:color w:val="002060"/>
          <w:kern w:val="24"/>
          <w:sz w:val="48"/>
          <w:szCs w:val="48"/>
          <w:lang w:val="kk-KZ"/>
        </w:rPr>
        <w:t>ғ</w:t>
      </w: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 xml:space="preserve">ан </w:t>
      </w:r>
      <w:proofErr w:type="spellStart"/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жер</w:t>
      </w:r>
      <w:proofErr w:type="spellEnd"/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» —&gt;</w:t>
      </w:r>
    </w:p>
    <w:p w:rsidR="00E35FF2" w:rsidRPr="00E35FF2" w:rsidRDefault="00E35FF2" w:rsidP="00E35FF2">
      <w:pPr>
        <w:spacing w:line="360" w:lineRule="auto"/>
        <w:ind w:left="6732" w:firstLine="348"/>
        <w:rPr>
          <w:color w:val="5FCBEF"/>
          <w:sz w:val="48"/>
          <w:szCs w:val="48"/>
        </w:rPr>
      </w:pP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«Ту</w:t>
      </w:r>
      <w:r w:rsidRPr="00E35FF2">
        <w:rPr>
          <w:rFonts w:ascii="Arial" w:eastAsia="+mn-ea" w:hAnsi="Arial" w:cs="Arial"/>
          <w:color w:val="002060"/>
          <w:kern w:val="24"/>
          <w:sz w:val="48"/>
          <w:szCs w:val="48"/>
          <w:lang w:val="kk-KZ"/>
        </w:rPr>
        <w:t>ғ</w:t>
      </w: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ан ел»</w:t>
      </w:r>
    </w:p>
    <w:p w:rsidR="00E35FF2" w:rsidRPr="00E35FF2" w:rsidRDefault="00E35FF2" w:rsidP="00E35FF2">
      <w:pPr>
        <w:pStyle w:val="a3"/>
        <w:numPr>
          <w:ilvl w:val="0"/>
          <w:numId w:val="1"/>
        </w:numPr>
        <w:spacing w:line="360" w:lineRule="auto"/>
        <w:rPr>
          <w:color w:val="5FCBEF"/>
          <w:sz w:val="48"/>
          <w:szCs w:val="48"/>
        </w:rPr>
      </w:pP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4. Проект «Духовные святыни Казахстана» или «Сакральная география Казахстана»</w:t>
      </w:r>
    </w:p>
    <w:p w:rsidR="00E35FF2" w:rsidRPr="00E35FF2" w:rsidRDefault="00E35FF2" w:rsidP="00E35FF2">
      <w:pPr>
        <w:pStyle w:val="a3"/>
        <w:numPr>
          <w:ilvl w:val="0"/>
          <w:numId w:val="1"/>
        </w:numPr>
        <w:spacing w:line="360" w:lineRule="auto"/>
        <w:rPr>
          <w:color w:val="5FCBEF"/>
          <w:sz w:val="48"/>
          <w:szCs w:val="48"/>
        </w:rPr>
      </w:pP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5. Проект «Современная казахстанская культура в глобальном мире»</w:t>
      </w:r>
    </w:p>
    <w:p w:rsidR="00E35FF2" w:rsidRPr="00E35FF2" w:rsidRDefault="00E35FF2" w:rsidP="00E35FF2">
      <w:pPr>
        <w:pStyle w:val="a3"/>
        <w:numPr>
          <w:ilvl w:val="0"/>
          <w:numId w:val="1"/>
        </w:numPr>
        <w:spacing w:line="360" w:lineRule="auto"/>
        <w:rPr>
          <w:color w:val="5FCBEF"/>
          <w:sz w:val="48"/>
          <w:szCs w:val="48"/>
        </w:rPr>
      </w:pP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6. Проект «100 новых лиц Казахстана»</w:t>
      </w:r>
    </w:p>
    <w:p w:rsidR="00E35FF2" w:rsidRPr="00E35FF2" w:rsidRDefault="00E35FF2">
      <w:pPr>
        <w:rPr>
          <w:sz w:val="48"/>
          <w:szCs w:val="48"/>
          <w:lang w:val="en-US"/>
        </w:rPr>
      </w:pPr>
      <w:r w:rsidRPr="00E35FF2">
        <w:rPr>
          <w:sz w:val="48"/>
          <w:szCs w:val="48"/>
          <w:lang w:val="en-US"/>
        </w:rPr>
        <w:br w:type="page"/>
      </w:r>
    </w:p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  <w:lang w:val="en-US"/>
        </w:rPr>
      </w:pPr>
      <w:r w:rsidRPr="007F3C30">
        <w:rPr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-184484</wp:posOffset>
            </wp:positionH>
            <wp:positionV relativeFrom="paragraph">
              <wp:posOffset>-360948</wp:posOffset>
            </wp:positionV>
            <wp:extent cx="2367121" cy="1443789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54" cy="1448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  <w:lang w:val="en-US"/>
        </w:rPr>
      </w:pPr>
    </w:p>
    <w:p w:rsidR="00E35FF2" w:rsidRP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 w:rsidRPr="00E35FF2"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>Программа «Ту</w:t>
      </w:r>
      <w:r w:rsidRPr="00E35FF2">
        <w:rPr>
          <w:rFonts w:ascii="Arial" w:eastAsia="+mj-ea" w:hAnsi="Arial" w:cs="Arial"/>
          <w:b/>
          <w:bCs/>
          <w:color w:val="C00000"/>
          <w:kern w:val="24"/>
          <w:sz w:val="52"/>
          <w:szCs w:val="52"/>
        </w:rPr>
        <w:t>ғ</w:t>
      </w:r>
      <w:r w:rsidRPr="00E35FF2">
        <w:rPr>
          <w:rFonts w:ascii="Trebuchet MS" w:eastAsia="+mj-ea" w:hAnsi="Trebuchet MS" w:cs="Trebuchet MS"/>
          <w:b/>
          <w:bCs/>
          <w:color w:val="C00000"/>
          <w:kern w:val="24"/>
          <w:sz w:val="52"/>
          <w:szCs w:val="52"/>
        </w:rPr>
        <w:t>ан</w:t>
      </w:r>
      <w:r w:rsidRPr="00E35FF2"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>жер» состоит из четырех Подпрограмм, каждая из которых направлена на достижение указанной цели:</w:t>
      </w:r>
    </w:p>
    <w:p w:rsidR="00E35FF2" w:rsidRPr="00E35FF2" w:rsidRDefault="00E35FF2" w:rsidP="00E35FF2">
      <w:pPr>
        <w:pStyle w:val="a3"/>
        <w:numPr>
          <w:ilvl w:val="0"/>
          <w:numId w:val="2"/>
        </w:numPr>
        <w:spacing w:line="276" w:lineRule="auto"/>
        <w:rPr>
          <w:rFonts w:ascii="Trebuchet MS" w:hAnsi="Trebuchet MS"/>
          <w:color w:val="5FCBEF"/>
          <w:sz w:val="38"/>
        </w:rPr>
      </w:pP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  <w:lang w:val="kk-KZ"/>
        </w:rPr>
        <w:t>«Т</w:t>
      </w:r>
      <w:r w:rsidRPr="00E35FF2">
        <w:rPr>
          <w:rFonts w:ascii="Arial" w:eastAsia="+mn-ea" w:hAnsi="Arial" w:cs="Arial"/>
          <w:bCs/>
          <w:i/>
          <w:iCs/>
          <w:color w:val="002060"/>
          <w:kern w:val="24"/>
          <w:sz w:val="48"/>
          <w:szCs w:val="48"/>
          <w:lang w:val="kk-KZ"/>
        </w:rPr>
        <w:t>ә</w:t>
      </w:r>
      <w:r w:rsidRPr="00E35FF2">
        <w:rPr>
          <w:rFonts w:ascii="Trebuchet MS" w:eastAsia="+mn-ea" w:hAnsi="Trebuchet MS" w:cs="Trebuchet MS"/>
          <w:bCs/>
          <w:i/>
          <w:iCs/>
          <w:color w:val="002060"/>
          <w:kern w:val="24"/>
          <w:sz w:val="48"/>
          <w:szCs w:val="48"/>
          <w:lang w:val="kk-KZ"/>
        </w:rPr>
        <w:t>рбиеж</w:t>
      </w:r>
      <w:r w:rsidRPr="00E35FF2">
        <w:rPr>
          <w:rFonts w:ascii="Arial" w:eastAsia="+mn-ea" w:hAnsi="Arial" w:cs="Arial"/>
          <w:bCs/>
          <w:i/>
          <w:iCs/>
          <w:color w:val="002060"/>
          <w:kern w:val="24"/>
          <w:sz w:val="48"/>
          <w:szCs w:val="48"/>
          <w:lang w:val="kk-KZ"/>
        </w:rPr>
        <w:t>ә</w:t>
      </w:r>
      <w:r w:rsidRPr="00E35FF2">
        <w:rPr>
          <w:rFonts w:ascii="Trebuchet MS" w:eastAsia="+mn-ea" w:hAnsi="Trebuchet MS" w:cs="Trebuchet MS"/>
          <w:bCs/>
          <w:i/>
          <w:iCs/>
          <w:color w:val="002060"/>
          <w:kern w:val="24"/>
          <w:sz w:val="48"/>
          <w:szCs w:val="48"/>
          <w:lang w:val="kk-KZ"/>
        </w:rPr>
        <w:t>небілім</w:t>
      </w: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</w:rPr>
        <w:t xml:space="preserve">» </w:t>
      </w: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– воспитание всесторонне и гармонично развитой личности в духе казахстанского патриотизма;</w:t>
      </w:r>
    </w:p>
    <w:p w:rsidR="00E35FF2" w:rsidRPr="00E35FF2" w:rsidRDefault="00E35FF2" w:rsidP="00E35FF2">
      <w:pPr>
        <w:pStyle w:val="a3"/>
        <w:numPr>
          <w:ilvl w:val="0"/>
          <w:numId w:val="2"/>
        </w:numPr>
        <w:spacing w:line="276" w:lineRule="auto"/>
        <w:rPr>
          <w:rFonts w:ascii="Trebuchet MS" w:hAnsi="Trebuchet MS"/>
          <w:color w:val="5FCBEF"/>
          <w:sz w:val="38"/>
        </w:rPr>
      </w:pP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</w:rPr>
        <w:t>«</w:t>
      </w:r>
      <w:proofErr w:type="spellStart"/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</w:rPr>
        <w:t>Атамекен</w:t>
      </w:r>
      <w:proofErr w:type="spellEnd"/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</w:rPr>
        <w:t xml:space="preserve">» </w:t>
      </w: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 xml:space="preserve">– укрепление у </w:t>
      </w:r>
      <w:proofErr w:type="spellStart"/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казахстанцев</w:t>
      </w:r>
      <w:proofErr w:type="spellEnd"/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 xml:space="preserve"> гражданской активности и чувства ответственности за судьбу малой родины;</w:t>
      </w:r>
    </w:p>
    <w:p w:rsidR="00E35FF2" w:rsidRPr="00E35FF2" w:rsidRDefault="00E35FF2" w:rsidP="00E35FF2">
      <w:pPr>
        <w:pStyle w:val="a3"/>
        <w:numPr>
          <w:ilvl w:val="0"/>
          <w:numId w:val="2"/>
        </w:numPr>
        <w:spacing w:line="276" w:lineRule="auto"/>
        <w:rPr>
          <w:rFonts w:ascii="Trebuchet MS" w:hAnsi="Trebuchet MS"/>
          <w:color w:val="5FCBEF"/>
          <w:sz w:val="38"/>
        </w:rPr>
      </w:pP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  <w:lang w:val="kk-KZ"/>
        </w:rPr>
        <w:t xml:space="preserve">«Рухани </w:t>
      </w:r>
      <w:r w:rsidRPr="00E35FF2">
        <w:rPr>
          <w:rFonts w:ascii="Arial" w:eastAsia="+mn-ea" w:hAnsi="Arial" w:cs="Arial"/>
          <w:bCs/>
          <w:i/>
          <w:iCs/>
          <w:color w:val="002060"/>
          <w:kern w:val="24"/>
          <w:sz w:val="48"/>
          <w:szCs w:val="48"/>
          <w:lang w:val="kk-KZ"/>
        </w:rPr>
        <w:t>Қ</w:t>
      </w:r>
      <w:r w:rsidRPr="00E35FF2">
        <w:rPr>
          <w:rFonts w:ascii="Trebuchet MS" w:eastAsia="+mn-ea" w:hAnsi="Trebuchet MS" w:cs="Trebuchet MS"/>
          <w:bCs/>
          <w:i/>
          <w:iCs/>
          <w:color w:val="002060"/>
          <w:kern w:val="24"/>
          <w:sz w:val="48"/>
          <w:szCs w:val="48"/>
          <w:lang w:val="kk-KZ"/>
        </w:rPr>
        <w:t>азына</w:t>
      </w: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</w:rPr>
        <w:t xml:space="preserve">» </w:t>
      </w: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– возрождение интереса и уважения к традициям, истории и культуре родного края;</w:t>
      </w:r>
    </w:p>
    <w:p w:rsidR="00E35FF2" w:rsidRPr="00E35FF2" w:rsidRDefault="00E35FF2" w:rsidP="00E35FF2">
      <w:pPr>
        <w:pStyle w:val="a3"/>
        <w:numPr>
          <w:ilvl w:val="0"/>
          <w:numId w:val="2"/>
        </w:numPr>
        <w:spacing w:line="276" w:lineRule="auto"/>
        <w:rPr>
          <w:rFonts w:ascii="Trebuchet MS" w:hAnsi="Trebuchet MS"/>
          <w:color w:val="5FCBEF"/>
          <w:sz w:val="38"/>
        </w:rPr>
      </w:pP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  <w:u w:val="single"/>
        </w:rPr>
        <w:t>«</w:t>
      </w: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  <w:u w:val="single"/>
          <w:lang w:val="kk-KZ"/>
        </w:rPr>
        <w:t>А</w:t>
      </w:r>
      <w:r w:rsidRPr="00E35FF2">
        <w:rPr>
          <w:rFonts w:ascii="Arial" w:eastAsia="+mn-ea" w:hAnsi="Arial" w:cs="Arial"/>
          <w:bCs/>
          <w:i/>
          <w:iCs/>
          <w:color w:val="002060"/>
          <w:kern w:val="24"/>
          <w:sz w:val="48"/>
          <w:szCs w:val="48"/>
          <w:u w:val="single"/>
          <w:lang w:val="kk-KZ"/>
        </w:rPr>
        <w:t>қ</w:t>
      </w:r>
      <w:r w:rsidRPr="00E35FF2">
        <w:rPr>
          <w:rFonts w:ascii="Trebuchet MS" w:eastAsia="+mn-ea" w:hAnsi="Trebuchet MS" w:cs="Trebuchet MS"/>
          <w:bCs/>
          <w:i/>
          <w:iCs/>
          <w:color w:val="002060"/>
          <w:kern w:val="24"/>
          <w:sz w:val="48"/>
          <w:szCs w:val="48"/>
          <w:u w:val="single"/>
          <w:lang w:val="kk-KZ"/>
        </w:rPr>
        <w:t>парат</w:t>
      </w: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  <w:u w:val="single"/>
          <w:lang w:val="kk-KZ"/>
        </w:rPr>
        <w:t xml:space="preserve"> тол</w:t>
      </w:r>
      <w:r w:rsidRPr="00E35FF2">
        <w:rPr>
          <w:rFonts w:ascii="Arial" w:eastAsia="+mn-ea" w:hAnsi="Arial" w:cs="Arial"/>
          <w:bCs/>
          <w:i/>
          <w:iCs/>
          <w:color w:val="002060"/>
          <w:kern w:val="24"/>
          <w:sz w:val="48"/>
          <w:szCs w:val="48"/>
          <w:u w:val="single"/>
          <w:lang w:val="kk-KZ"/>
        </w:rPr>
        <w:t>қ</w:t>
      </w:r>
      <w:r w:rsidRPr="00E35FF2">
        <w:rPr>
          <w:rFonts w:ascii="Trebuchet MS" w:eastAsia="+mn-ea" w:hAnsi="Trebuchet MS" w:cs="Trebuchet MS"/>
          <w:bCs/>
          <w:i/>
          <w:iCs/>
          <w:color w:val="002060"/>
          <w:kern w:val="24"/>
          <w:sz w:val="48"/>
          <w:szCs w:val="48"/>
          <w:u w:val="single"/>
          <w:lang w:val="kk-KZ"/>
        </w:rPr>
        <w:t>ыны</w:t>
      </w:r>
      <w:r w:rsidRPr="00E35FF2">
        <w:rPr>
          <w:rFonts w:ascii="Trebuchet MS" w:eastAsia="+mn-ea" w:hAnsi="Trebuchet MS" w:cs="+mn-cs"/>
          <w:bCs/>
          <w:i/>
          <w:iCs/>
          <w:color w:val="002060"/>
          <w:kern w:val="24"/>
          <w:sz w:val="48"/>
          <w:szCs w:val="48"/>
          <w:u w:val="single"/>
        </w:rPr>
        <w:t xml:space="preserve">» </w:t>
      </w: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 xml:space="preserve">– </w:t>
      </w: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  <w:lang w:val="kk-KZ"/>
        </w:rPr>
        <w:t>информирование населения о ходе реализации Программы</w:t>
      </w:r>
      <w:r w:rsidRPr="00E35FF2">
        <w:rPr>
          <w:rFonts w:ascii="Trebuchet MS" w:eastAsia="+mn-ea" w:hAnsi="Trebuchet MS" w:cs="+mn-cs"/>
          <w:color w:val="002060"/>
          <w:kern w:val="24"/>
          <w:sz w:val="48"/>
          <w:szCs w:val="48"/>
        </w:rPr>
        <w:t>, создание информационной инфраструктуры для участия граждан в общественном мониторинге реализуемых проектов</w:t>
      </w:r>
      <w:r w:rsidRPr="00E35FF2">
        <w:rPr>
          <w:rFonts w:ascii="Trebuchet MS" w:eastAsia="+mn-ea" w:hAnsi="Trebuchet MS" w:cs="+mn-cs"/>
          <w:color w:val="002060"/>
          <w:kern w:val="24"/>
          <w:sz w:val="40"/>
          <w:szCs w:val="40"/>
        </w:rPr>
        <w:t xml:space="preserve">. </w:t>
      </w:r>
    </w:p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 w:rsidRPr="007F3C30">
        <w:rPr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-64135</wp:posOffset>
            </wp:positionV>
            <wp:extent cx="2340820" cy="1427747"/>
            <wp:effectExtent l="0" t="0" r="254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33" cy="142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bookmarkStart w:id="0" w:name="_GoBack"/>
      <w:bookmarkEnd w:id="0"/>
    </w:p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</w:p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 w:rsidRPr="00E35FF2"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>Э</w:t>
      </w:r>
      <w:r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>тапы реализации программы</w:t>
      </w:r>
    </w:p>
    <w:p w:rsidR="00E35FF2" w:rsidRDefault="00E35FF2" w:rsidP="00E35FF2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</w:p>
    <w:p w:rsidR="00E35FF2" w:rsidRPr="00E35FF2" w:rsidRDefault="00E35FF2" w:rsidP="00E35FF2">
      <w:pPr>
        <w:pStyle w:val="a3"/>
        <w:numPr>
          <w:ilvl w:val="0"/>
          <w:numId w:val="3"/>
        </w:numPr>
        <w:spacing w:line="360" w:lineRule="auto"/>
        <w:textAlignment w:val="baseline"/>
        <w:rPr>
          <w:color w:val="5FCBEF"/>
          <w:sz w:val="38"/>
        </w:rPr>
      </w:pPr>
      <w:r>
        <w:rPr>
          <w:rFonts w:ascii="Trebuchet MS" w:eastAsia="+mn-ea" w:hAnsi="Trebuchet MS" w:cs="+mn-cs"/>
          <w:color w:val="002060"/>
          <w:kern w:val="24"/>
          <w:sz w:val="48"/>
          <w:szCs w:val="48"/>
        </w:rPr>
        <w:t>На первом этапе (2017-2022 гг.) Программы разрабатываются и внедряются необходимая нормативно-правовая база, общественные институты, системы мониторинга, а также оценки достигнутых результатов и эффективности принимаемых мер</w:t>
      </w:r>
    </w:p>
    <w:p w:rsidR="00E35FF2" w:rsidRDefault="00E35FF2" w:rsidP="00E35FF2">
      <w:pPr>
        <w:pStyle w:val="a3"/>
        <w:spacing w:line="360" w:lineRule="auto"/>
        <w:textAlignment w:val="baseline"/>
        <w:rPr>
          <w:color w:val="5FCBEF"/>
          <w:sz w:val="38"/>
        </w:rPr>
      </w:pPr>
    </w:p>
    <w:p w:rsidR="00A25530" w:rsidRDefault="00E35FF2" w:rsidP="00E35FF2">
      <w:pPr>
        <w:pStyle w:val="a3"/>
        <w:numPr>
          <w:ilvl w:val="0"/>
          <w:numId w:val="3"/>
        </w:numPr>
        <w:spacing w:line="360" w:lineRule="auto"/>
        <w:textAlignment w:val="baseline"/>
        <w:rPr>
          <w:rFonts w:ascii="Trebuchet MS" w:eastAsia="+mn-ea" w:hAnsi="Trebuchet MS" w:cs="+mn-cs"/>
          <w:color w:val="002060"/>
          <w:kern w:val="24"/>
          <w:sz w:val="48"/>
          <w:szCs w:val="48"/>
        </w:rPr>
      </w:pPr>
      <w:r>
        <w:rPr>
          <w:rFonts w:ascii="Trebuchet MS" w:eastAsia="+mn-ea" w:hAnsi="Trebuchet MS" w:cs="+mn-cs"/>
          <w:color w:val="002060"/>
          <w:kern w:val="24"/>
          <w:sz w:val="48"/>
          <w:szCs w:val="48"/>
        </w:rPr>
        <w:t xml:space="preserve"> На последующих этапах (2023-2032 гг.)  будет обеспечено достижение целевых индикаторов и показателей результатов</w:t>
      </w:r>
    </w:p>
    <w:p w:rsidR="00A25530" w:rsidRDefault="00A25530">
      <w:pPr>
        <w:rPr>
          <w:rFonts w:ascii="Trebuchet MS" w:eastAsia="+mn-ea" w:hAnsi="Trebuchet MS" w:cs="+mn-cs"/>
          <w:color w:val="002060"/>
          <w:kern w:val="24"/>
          <w:sz w:val="48"/>
          <w:szCs w:val="48"/>
          <w:lang w:eastAsia="ru-RU"/>
        </w:rPr>
      </w:pPr>
      <w:r>
        <w:rPr>
          <w:rFonts w:ascii="Trebuchet MS" w:eastAsia="+mn-ea" w:hAnsi="Trebuchet MS" w:cs="+mn-cs"/>
          <w:color w:val="002060"/>
          <w:kern w:val="24"/>
          <w:sz w:val="48"/>
          <w:szCs w:val="48"/>
        </w:rPr>
        <w:br w:type="page"/>
      </w: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 w:rsidRPr="00A25530"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-277729</wp:posOffset>
            </wp:positionH>
            <wp:positionV relativeFrom="paragraph">
              <wp:posOffset>-200526</wp:posOffset>
            </wp:positionV>
            <wp:extent cx="2387266" cy="1443789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6" cy="144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530" w:rsidRDefault="00A25530" w:rsidP="00A25530">
      <w:pPr>
        <w:ind w:left="2832"/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 xml:space="preserve">Общенациональный проект </w:t>
      </w:r>
    </w:p>
    <w:p w:rsidR="00A25530" w:rsidRDefault="00A25530" w:rsidP="00A25530">
      <w:pPr>
        <w:ind w:left="1416" w:firstLine="708"/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>«100 новых лиц Казахстана»</w:t>
      </w: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>
        <w:rPr>
          <w:rFonts w:ascii="Trebuchet MS" w:eastAsia="+mj-ea" w:hAnsi="Trebuchet MS" w:cs="+mj-cs"/>
          <w:b/>
          <w:bCs/>
          <w:noProof/>
          <w:color w:val="C00000"/>
          <w:kern w:val="24"/>
          <w:sz w:val="52"/>
          <w:szCs w:val="5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29845</wp:posOffset>
            </wp:positionV>
            <wp:extent cx="3910965" cy="2197735"/>
            <wp:effectExtent l="19050" t="0" r="0" b="0"/>
            <wp:wrapTight wrapText="bothSides">
              <wp:wrapPolygon edited="0">
                <wp:start x="-105" y="0"/>
                <wp:lineTo x="-105" y="21344"/>
                <wp:lineTo x="21568" y="21344"/>
                <wp:lineTo x="21568" y="0"/>
                <wp:lineTo x="-105" y="0"/>
              </wp:wrapPolygon>
            </wp:wrapTight>
            <wp:docPr id="6" name="Рисунок 2" descr="C:\Users\Владелец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>
        <w:rPr>
          <w:rFonts w:ascii="Trebuchet MS" w:eastAsia="+mj-ea" w:hAnsi="Trebuchet MS" w:cs="+mj-cs"/>
          <w:b/>
          <w:bCs/>
          <w:noProof/>
          <w:color w:val="C00000"/>
          <w:kern w:val="24"/>
          <w:sz w:val="52"/>
          <w:szCs w:val="5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4445</wp:posOffset>
            </wp:positionV>
            <wp:extent cx="4135755" cy="2774950"/>
            <wp:effectExtent l="19050" t="0" r="0" b="0"/>
            <wp:wrapTight wrapText="bothSides">
              <wp:wrapPolygon edited="0">
                <wp:start x="-99" y="0"/>
                <wp:lineTo x="-99" y="21501"/>
                <wp:lineTo x="21590" y="21501"/>
                <wp:lineTo x="21590" y="0"/>
                <wp:lineTo x="-99" y="0"/>
              </wp:wrapPolygon>
            </wp:wrapTight>
            <wp:docPr id="9" name="Рисунок 4" descr="C:\Users\Владелец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032" t="30024" r="14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</w:p>
    <w:p w:rsidR="00A25530" w:rsidRDefault="00A25530" w:rsidP="00A25530">
      <w:pPr>
        <w:jc w:val="center"/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</w:p>
    <w:p w:rsidR="00A25530" w:rsidRDefault="00A25530">
      <w:pPr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</w:pPr>
      <w:r>
        <w:rPr>
          <w:rFonts w:ascii="Trebuchet MS" w:eastAsia="+mj-ea" w:hAnsi="Trebuchet MS" w:cs="+mj-cs"/>
          <w:b/>
          <w:bCs/>
          <w:noProof/>
          <w:color w:val="C00000"/>
          <w:kern w:val="24"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1188085</wp:posOffset>
            </wp:positionV>
            <wp:extent cx="4023360" cy="2261870"/>
            <wp:effectExtent l="19050" t="0" r="0" b="0"/>
            <wp:wrapTight wrapText="bothSides">
              <wp:wrapPolygon edited="0">
                <wp:start x="-102" y="0"/>
                <wp:lineTo x="-102" y="21467"/>
                <wp:lineTo x="21580" y="21467"/>
                <wp:lineTo x="21580" y="0"/>
                <wp:lineTo x="-102" y="0"/>
              </wp:wrapPolygon>
            </wp:wrapTight>
            <wp:docPr id="7" name="Рисунок 3" descr="C:\Users\Владелец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br w:type="page"/>
      </w:r>
    </w:p>
    <w:p w:rsidR="00A25530" w:rsidRDefault="00E97E26" w:rsidP="00A25530">
      <w:pPr>
        <w:jc w:val="center"/>
        <w:rPr>
          <w:rFonts w:ascii="Trebuchet MS" w:hAnsi="Trebuchet MS"/>
          <w:sz w:val="52"/>
          <w:szCs w:val="52"/>
        </w:rPr>
      </w:pPr>
      <w:r>
        <w:rPr>
          <w:rFonts w:ascii="Trebuchet MS" w:eastAsia="+mj-ea" w:hAnsi="Trebuchet MS" w:cs="+mj-cs"/>
          <w:b/>
          <w:bCs/>
          <w:noProof/>
          <w:color w:val="C00000"/>
          <w:kern w:val="24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601345</wp:posOffset>
            </wp:positionV>
            <wp:extent cx="2847340" cy="2293620"/>
            <wp:effectExtent l="19050" t="0" r="0" b="0"/>
            <wp:wrapTight wrapText="bothSides">
              <wp:wrapPolygon edited="0">
                <wp:start x="-145" y="0"/>
                <wp:lineTo x="-145" y="21349"/>
                <wp:lineTo x="21533" y="21349"/>
                <wp:lineTo x="21533" y="0"/>
                <wp:lineTo x="-145" y="0"/>
              </wp:wrapPolygon>
            </wp:wrapTight>
            <wp:docPr id="8" name="Рисунок 1" descr="C:\Users\Владелец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283" r="1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25530"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>Кинцель</w:t>
      </w:r>
      <w:proofErr w:type="spellEnd"/>
      <w:r w:rsidR="00A25530">
        <w:rPr>
          <w:rFonts w:ascii="Trebuchet MS" w:eastAsia="+mj-ea" w:hAnsi="Trebuchet MS" w:cs="+mj-cs"/>
          <w:b/>
          <w:bCs/>
          <w:color w:val="C00000"/>
          <w:kern w:val="24"/>
          <w:sz w:val="52"/>
          <w:szCs w:val="52"/>
        </w:rPr>
        <w:t xml:space="preserve"> Александр Евгеньевич</w:t>
      </w:r>
    </w:p>
    <w:p w:rsidR="00A25530" w:rsidRPr="00A25530" w:rsidRDefault="00A25530" w:rsidP="00A25530">
      <w:pPr>
        <w:spacing w:line="240" w:lineRule="auto"/>
        <w:jc w:val="both"/>
        <w:rPr>
          <w:rFonts w:ascii="Trebuchet MS" w:hAnsi="Trebuchet MS"/>
          <w:color w:val="002060"/>
          <w:sz w:val="30"/>
          <w:szCs w:val="30"/>
        </w:rPr>
      </w:pPr>
      <w:proofErr w:type="spellStart"/>
      <w:r w:rsidRPr="00A2553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Кинцель</w:t>
      </w:r>
      <w:proofErr w:type="spellEnd"/>
      <w:r w:rsidRPr="00A2553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Александр Евгеньевич, учитель биологии высшей категории первого (продвинутого) уровня ГУ «Школа-гимназия № 6 имени Абая Кунанбаева» </w:t>
      </w:r>
      <w:proofErr w:type="spellStart"/>
      <w:r w:rsidRPr="00A2553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</w:t>
      </w:r>
      <w:proofErr w:type="gramStart"/>
      <w:r w:rsidRPr="00A2553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.С</w:t>
      </w:r>
      <w:proofErr w:type="gramEnd"/>
      <w:r w:rsidRPr="00A2553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тепногорска</w:t>
      </w:r>
      <w:proofErr w:type="spellEnd"/>
      <w:r w:rsidRPr="00A2553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магистр педагогических наук, Координатор Ведущей школы,  школьный тренер по тематике «Рефлексия в практике», руководитель городского методического объединения учителей биологии, сотрудник кафедры естествознания Центра дистанционного образования «</w:t>
      </w:r>
      <w:proofErr w:type="spellStart"/>
      <w:r w:rsidRPr="00A2553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Эйдос</w:t>
      </w:r>
      <w:proofErr w:type="spellEnd"/>
      <w:r w:rsidRPr="00A2553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», г.Москва</w:t>
      </w:r>
    </w:p>
    <w:p w:rsidR="00A25530" w:rsidRPr="00A25530" w:rsidRDefault="00A25530" w:rsidP="00A2553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E97E2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Достижения: </w:t>
      </w:r>
      <w:r w:rsidRPr="00A255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Победитель общенационального проекта «100 новых лиц Казахстана», Победитель республиканского конкурса «Үзд</w:t>
      </w:r>
      <w:proofErr w:type="spellStart"/>
      <w:r w:rsidRPr="00A25530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i</w:t>
      </w:r>
      <w:proofErr w:type="spellEnd"/>
      <w:r w:rsidRPr="00A255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 педагог – 2017 года», призер республиканского конкурса «Лучшая авторская программа», 2 место, </w:t>
      </w:r>
      <w:proofErr w:type="spellStart"/>
      <w:r w:rsidRPr="00A255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</w:t>
      </w:r>
      <w:proofErr w:type="gramStart"/>
      <w:r w:rsidRPr="00A255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.А</w:t>
      </w:r>
      <w:proofErr w:type="gramEnd"/>
      <w:r w:rsidRPr="00A255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лматы</w:t>
      </w:r>
      <w:proofErr w:type="spellEnd"/>
      <w:r w:rsidRPr="00A255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35FF2" w:rsidRPr="00E97E26" w:rsidRDefault="00A25530" w:rsidP="00A25530">
      <w:pPr>
        <w:spacing w:line="240" w:lineRule="auto"/>
        <w:jc w:val="both"/>
        <w:rPr>
          <w:rFonts w:ascii="Trebuchet MS" w:hAnsi="Trebuchet MS"/>
          <w:color w:val="002060"/>
          <w:sz w:val="28"/>
          <w:szCs w:val="28"/>
        </w:rPr>
      </w:pPr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Призер областного конкурса «Үзд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i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 педагог», 2017 г, включен в Книгу учительской славы Министерства образования и науки Республики Казахстан, делегат </w:t>
      </w:r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I</w:t>
      </w:r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-го съезда учителей биологии  «Эксперт, разработчик заданий Центра национального тестирования, г</w:t>
      </w:r>
      <w:proofErr w:type="gram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.А</w:t>
      </w:r>
      <w:proofErr w:type="gram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стана (2006-2017 гг.), призер республиканского конкурса «Учитель года Казахстана-2005», победитель областных и призер  </w:t>
      </w:r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val="en-US" w:eastAsia="ru-RU"/>
        </w:rPr>
        <w:t>I</w:t>
      </w:r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Республиканских  педагогических чтений, 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г.Алматы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2013 г., победитель областного конкурса «Лучший преподаватель-организатор начальной военной подготовки» - «Гран-при», республиканского (с Международным участием) конкурса «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Атамура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» на лучшее научное издание в номинации монографии «Педагогика и образование», призер областного конкурса «Лучшая  авторская программа», победитель республиканских олимпиад по биологии для учителей (КИО, 2014-2017гг), 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общеказахстанской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педагогической олимпиады «Демиург» (2015, 2016,2017 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гг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), победитель конкурса 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акимата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тепногорска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«Лучший по профессии» в номинации «Лучший педагог», 2016 г., ежегодный победитель международных педагогических профессиональных конкурсов «Школьный задачник», «Классное руководство и внеурочная деятельность», «Творческий урок», «Предметный кроссворд» и т.д., победитель городских конкурсов «Лучшая авторская методическая разработка», «Цикл уроков на основе 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системно-деятельностного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подхода», «Лучший кабинет биологии» , «Самый эффективный учитель биологии», автор шести методических пособий по биологии, химии, географии, физике, ОБЖ, окружающему миру, опубликованных ЦДО «</w:t>
      </w:r>
      <w:proofErr w:type="spell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Эйдос</w:t>
      </w:r>
      <w:proofErr w:type="spell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», г</w:t>
      </w:r>
      <w:proofErr w:type="gram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осква,  пяти профильных курсов по биологии, семи сборников заданий к учебникам  биологии (</w:t>
      </w:r>
      <w:proofErr w:type="gram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утверждены</w:t>
      </w:r>
      <w:proofErr w:type="gram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городской экспертной комиссией). Монография «Задания эвристического типа как средство развития компетенций учащихся», статьи, тезисы, разработки уроков опубликованы в казахстанский педагогических журналах, российских изданиях, включены сборники эвристического обучения издательства Института образования человека, г</w:t>
      </w:r>
      <w:proofErr w:type="gramStart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E97E26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осква, электронную библиотеку российского индекса научного цитирования . Выпускники успешно учатся и заканчивают высшие медицинские учебные заведения Казахстана, России, Соединенных штатов Америки.</w:t>
      </w:r>
    </w:p>
    <w:sectPr w:rsidR="00E35FF2" w:rsidRPr="00E97E26" w:rsidSect="00E35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29D"/>
    <w:multiLevelType w:val="hybridMultilevel"/>
    <w:tmpl w:val="004CC4C2"/>
    <w:lvl w:ilvl="0" w:tplc="CF56C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C67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2642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8A1D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8A02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8408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1891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1654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06BF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BE65617"/>
    <w:multiLevelType w:val="hybridMultilevel"/>
    <w:tmpl w:val="EA6CAF1E"/>
    <w:lvl w:ilvl="0" w:tplc="9656F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48AE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04B4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9A6E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A41F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CC19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0686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1A1F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4EF3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49D0E9D"/>
    <w:multiLevelType w:val="hybridMultilevel"/>
    <w:tmpl w:val="870C6B0C"/>
    <w:lvl w:ilvl="0" w:tplc="4E42CD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48D2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6670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A05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9293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D41C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6C2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C247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4E2C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35FF2"/>
    <w:rsid w:val="004B1DA3"/>
    <w:rsid w:val="00764BD5"/>
    <w:rsid w:val="00A25530"/>
    <w:rsid w:val="00E35FF2"/>
    <w:rsid w:val="00E9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30"/>
    <w:rPr>
      <w:b/>
      <w:bCs/>
    </w:rPr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A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Владелец-</cp:lastModifiedBy>
  <cp:revision>2</cp:revision>
  <cp:lastPrinted>2017-12-06T05:28:00Z</cp:lastPrinted>
  <dcterms:created xsi:type="dcterms:W3CDTF">2017-12-06T04:58:00Z</dcterms:created>
  <dcterms:modified xsi:type="dcterms:W3CDTF">2017-12-06T05:28:00Z</dcterms:modified>
</cp:coreProperties>
</file>