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B9" w:rsidRPr="00E02D32" w:rsidRDefault="00A155B9" w:rsidP="00A155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1BA5">
        <w:rPr>
          <w:rFonts w:ascii="Times New Roman" w:eastAsia="Times New Roman" w:hAnsi="Times New Roman" w:cs="Times New Roman"/>
          <w:b/>
          <w:sz w:val="28"/>
          <w:szCs w:val="28"/>
        </w:rPr>
        <w:t>Система повышения квалификации</w:t>
      </w:r>
    </w:p>
    <w:p w:rsidR="00A155B9" w:rsidRPr="00666684" w:rsidRDefault="00A155B9" w:rsidP="00A155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84">
        <w:rPr>
          <w:rFonts w:ascii="Times New Roman" w:hAnsi="Times New Roman" w:cs="Times New Roman"/>
          <w:sz w:val="28"/>
          <w:szCs w:val="28"/>
        </w:rPr>
        <w:t>Важным показателем результативности деятельности методического кабинета является обеспечение качества образовательных услуг. В этом большое значение имеет повышение квалификации педагогов. На курсах по</w:t>
      </w:r>
      <w:r w:rsidR="00516F69">
        <w:rPr>
          <w:rFonts w:ascii="Times New Roman" w:hAnsi="Times New Roman" w:cs="Times New Roman"/>
          <w:sz w:val="28"/>
          <w:szCs w:val="28"/>
        </w:rPr>
        <w:t>вышения квалификации обучилось 33 педагога.</w:t>
      </w:r>
    </w:p>
    <w:p w:rsidR="00A155B9" w:rsidRPr="00666684" w:rsidRDefault="00A155B9" w:rsidP="00A155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6684">
        <w:rPr>
          <w:rFonts w:ascii="Times New Roman" w:hAnsi="Times New Roman" w:cs="Times New Roman"/>
          <w:sz w:val="28"/>
          <w:szCs w:val="28"/>
          <w:lang w:val="kk-KZ"/>
        </w:rPr>
        <w:t>В школе составлен план прохождения курсовой переподготовки. Прохождение учителями курса повышения квалификации  совпадает с планом, большинство учителей прошли курсы повышения квалификации по предмету за последние 3 года.</w:t>
      </w:r>
    </w:p>
    <w:p w:rsidR="00A155B9" w:rsidRDefault="00A155B9" w:rsidP="00A155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684">
        <w:rPr>
          <w:rFonts w:ascii="Times New Roman" w:eastAsia="Calibri" w:hAnsi="Times New Roman" w:cs="Times New Roman"/>
          <w:sz w:val="28"/>
          <w:szCs w:val="28"/>
        </w:rPr>
        <w:t xml:space="preserve">Целью повышения квалификации специалистов является обновление их теоретических и практических знаний в соответствии с постоянно повышающимися требованиями государственных образовательных стандартов. Повышение квалификации проводится по мере необходимости, но не реже 1 раза в 5 лет в течение всей трудовой деятельности работников. В нашей школе обязательным условием и стимулом роста профессионального мастерства является прохождение курсов переподготовки. </w:t>
      </w:r>
      <w:bookmarkStart w:id="0" w:name="_GoBack"/>
      <w:bookmarkEnd w:id="0"/>
    </w:p>
    <w:p w:rsidR="00A155B9" w:rsidRPr="00666684" w:rsidRDefault="00A155B9" w:rsidP="00A155B9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155B9" w:rsidRPr="00BE678F" w:rsidRDefault="00A155B9" w:rsidP="00A155B9">
      <w:pPr>
        <w:spacing w:after="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E678F">
        <w:rPr>
          <w:rFonts w:ascii="Times New Roman" w:hAnsi="Times New Roman" w:cs="Times New Roman"/>
          <w:b/>
          <w:sz w:val="28"/>
          <w:szCs w:val="28"/>
        </w:rPr>
        <w:t>Диагностика и мониторинг в работе методического кабинета.</w:t>
      </w:r>
    </w:p>
    <w:p w:rsidR="00A155B9" w:rsidRPr="0040086B" w:rsidRDefault="00A155B9" w:rsidP="00A155B9">
      <w:pPr>
        <w:pStyle w:val="a4"/>
        <w:spacing w:after="0" w:line="256" w:lineRule="auto"/>
        <w:ind w:left="92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40086B">
        <w:rPr>
          <w:rFonts w:ascii="Times New Roman" w:hAnsi="Times New Roman" w:cs="Times New Roman"/>
          <w:b/>
          <w:sz w:val="28"/>
          <w:szCs w:val="28"/>
        </w:rPr>
        <w:t xml:space="preserve">Обобщение ОППО </w:t>
      </w:r>
    </w:p>
    <w:p w:rsidR="00A155B9" w:rsidRPr="0040086B" w:rsidRDefault="00A155B9" w:rsidP="00A155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0404" w:type="dxa"/>
        <w:tblInd w:w="-1281" w:type="dxa"/>
        <w:tblLook w:val="04A0"/>
      </w:tblPr>
      <w:tblGrid>
        <w:gridCol w:w="2248"/>
        <w:gridCol w:w="2114"/>
        <w:gridCol w:w="1478"/>
        <w:gridCol w:w="1478"/>
        <w:gridCol w:w="963"/>
        <w:gridCol w:w="705"/>
        <w:gridCol w:w="1418"/>
      </w:tblGrid>
      <w:tr w:rsidR="00A155B9" w:rsidTr="00847D40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9" w:rsidRDefault="00A155B9" w:rsidP="00847D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конкурсы, олимпиады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9" w:rsidRDefault="00A155B9" w:rsidP="00847D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 конкурсы, олимпиады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9" w:rsidRDefault="00A155B9" w:rsidP="00847D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 конкурсы, олимпиады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9" w:rsidRDefault="00A155B9" w:rsidP="00847D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конкурсы, олимпиады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9" w:rsidRDefault="00A155B9" w:rsidP="00847D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ОППО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9" w:rsidRDefault="00A155B9" w:rsidP="00847D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ГЭС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9" w:rsidRDefault="00A155B9" w:rsidP="00847D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</w:tc>
      </w:tr>
      <w:tr w:rsidR="00A155B9" w:rsidTr="00847D40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9" w:rsidRDefault="00A155B9" w:rsidP="00847D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9" w:rsidRDefault="00A155B9" w:rsidP="00847D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9" w:rsidRDefault="00A155B9" w:rsidP="00847D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9" w:rsidRDefault="00A155B9" w:rsidP="00847D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9" w:rsidRDefault="00A155B9" w:rsidP="00847D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9" w:rsidRDefault="00A155B9" w:rsidP="00847D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9" w:rsidRDefault="00A155B9" w:rsidP="00847D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A155B9" w:rsidRDefault="00A155B9" w:rsidP="00A155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5B9" w:rsidRDefault="00A155B9" w:rsidP="00A155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5B9" w:rsidRDefault="00A155B9" w:rsidP="00A155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5B9" w:rsidRDefault="00A155B9" w:rsidP="00A155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5B9" w:rsidRDefault="00A155B9" w:rsidP="00A15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91050" cy="2600325"/>
            <wp:effectExtent l="0" t="0" r="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155B9" w:rsidRDefault="00A155B9" w:rsidP="00A155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5B9" w:rsidRDefault="00A155B9" w:rsidP="00A155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5B9" w:rsidRDefault="00A155B9" w:rsidP="00A155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5B9" w:rsidRDefault="00A155B9" w:rsidP="00516F69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lastRenderedPageBreak/>
        <w:t xml:space="preserve">                      </w:t>
      </w:r>
    </w:p>
    <w:p w:rsidR="00A155B9" w:rsidRPr="00B900B2" w:rsidRDefault="00A155B9" w:rsidP="00A155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5B9" w:rsidRPr="00B900B2" w:rsidRDefault="00B900B2" w:rsidP="00B90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00B2">
        <w:rPr>
          <w:rFonts w:ascii="Times New Roman" w:hAnsi="Times New Roman" w:cs="Times New Roman"/>
          <w:b/>
          <w:color w:val="000000"/>
          <w:sz w:val="28"/>
          <w:szCs w:val="28"/>
        </w:rPr>
        <w:t>Бі</w:t>
      </w:r>
      <w:proofErr w:type="gramStart"/>
      <w:r w:rsidRPr="00B900B2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proofErr w:type="gramEnd"/>
      <w:r w:rsidRPr="00B900B2">
        <w:rPr>
          <w:rFonts w:ascii="Times New Roman" w:hAnsi="Times New Roman" w:cs="Times New Roman"/>
          <w:b/>
          <w:color w:val="000000"/>
          <w:sz w:val="28"/>
          <w:szCs w:val="28"/>
        </w:rPr>
        <w:t>іктілікті</w:t>
      </w:r>
      <w:proofErr w:type="spellEnd"/>
      <w:r w:rsidRPr="00B900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b/>
          <w:color w:val="000000"/>
          <w:sz w:val="28"/>
          <w:szCs w:val="28"/>
        </w:rPr>
        <w:t>арттыру</w:t>
      </w:r>
      <w:proofErr w:type="spellEnd"/>
      <w:r w:rsidRPr="00B900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b/>
          <w:color w:val="000000"/>
          <w:sz w:val="28"/>
          <w:szCs w:val="28"/>
        </w:rPr>
        <w:t>жүйесі</w:t>
      </w:r>
      <w:proofErr w:type="spellEnd"/>
    </w:p>
    <w:p w:rsidR="00B900B2" w:rsidRDefault="00B900B2"/>
    <w:p w:rsidR="00B900B2" w:rsidRDefault="00B900B2" w:rsidP="00B900B2"/>
    <w:p w:rsidR="00B900B2" w:rsidRPr="00B900B2" w:rsidRDefault="00B900B2" w:rsidP="00B9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Әдістемелі</w:t>
      </w:r>
      <w:proofErr w:type="gram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spellEnd"/>
      <w:proofErr w:type="gram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кабинет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қызметінің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нәтижелілігінің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маңызды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көрсеткіші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қызметінің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сапасын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қамтамасыз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ету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табылады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Бұ</w:t>
      </w:r>
      <w:proofErr w:type="gram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End"/>
      <w:proofErr w:type="gram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ретте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педагогтардың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біліктілігін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арттырудың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маңызы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зор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B900B2">
        <w:rPr>
          <w:rFonts w:ascii="Times New Roman" w:hAnsi="Times New Roman" w:cs="Times New Roman"/>
          <w:color w:val="000000"/>
          <w:sz w:val="28"/>
          <w:szCs w:val="28"/>
        </w:rPr>
        <w:t>іктілікті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арттыру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курстарында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33 педагог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оқытылды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00B2" w:rsidRPr="00B900B2" w:rsidRDefault="00B900B2" w:rsidP="00B900B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Мектепте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қайта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даярлау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курстарынан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өту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жоспары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құрылды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Мұғалімдердің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біліктілігін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арттыру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курсынан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өтуі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жоспарға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сәйкес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келеді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мұғалімдердің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көпшілігі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соңғы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жылда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900B2">
        <w:rPr>
          <w:rFonts w:ascii="Times New Roman" w:hAnsi="Times New Roman" w:cs="Times New Roman"/>
          <w:color w:val="000000"/>
          <w:sz w:val="28"/>
          <w:szCs w:val="28"/>
        </w:rPr>
        <w:t>ән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біліктілікті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арттыру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курстарынан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өтті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00B2" w:rsidRDefault="00B900B2" w:rsidP="00B900B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Мамандардың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біліктілігін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арттырудың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мақсаты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мемлекетті</w:t>
      </w:r>
      <w:proofErr w:type="gram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spellEnd"/>
      <w:proofErr w:type="gram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стандарттарының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тұрақты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түрде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жоғарылайтын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талаптарына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сәйкес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олардың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теориялық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практикалық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білімдерін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жаңарту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табылады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Біліктілікті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арттыру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қажеттілігіне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қарай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бірақ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қызметкерлердің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барлық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еңбек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қызметі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жылда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кемінде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жүргізіледі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Біздің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мектепте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кәсіби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шеберліктің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өсуінің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міндетті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шарты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ынталандыруы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қайта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даярлау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курстарынан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өту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табылады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900B2" w:rsidRDefault="00B900B2" w:rsidP="00B900B2">
      <w:pPr>
        <w:rPr>
          <w:rFonts w:ascii="Times New Roman" w:hAnsi="Times New Roman" w:cs="Times New Roman"/>
          <w:sz w:val="28"/>
          <w:szCs w:val="28"/>
        </w:rPr>
      </w:pPr>
    </w:p>
    <w:p w:rsidR="00B900B2" w:rsidRDefault="00B900B2" w:rsidP="00B900B2">
      <w:pPr>
        <w:tabs>
          <w:tab w:val="left" w:pos="322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Әдістемелі</w:t>
      </w:r>
      <w:proofErr w:type="gram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spellEnd"/>
      <w:proofErr w:type="gram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кабинет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жұмысының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диагностикасы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0B2">
        <w:rPr>
          <w:rFonts w:ascii="Times New Roman" w:hAnsi="Times New Roman" w:cs="Times New Roman"/>
          <w:color w:val="000000"/>
          <w:sz w:val="28"/>
          <w:szCs w:val="28"/>
        </w:rPr>
        <w:t>мониторингі</w:t>
      </w:r>
      <w:proofErr w:type="spellEnd"/>
      <w:r w:rsidRPr="00B900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00B2" w:rsidRPr="00B900B2" w:rsidRDefault="00B900B2" w:rsidP="00B900B2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0404" w:type="dxa"/>
        <w:tblInd w:w="-1281" w:type="dxa"/>
        <w:tblLook w:val="04A0"/>
      </w:tblPr>
      <w:tblGrid>
        <w:gridCol w:w="1747"/>
        <w:gridCol w:w="1842"/>
        <w:gridCol w:w="1675"/>
        <w:gridCol w:w="1918"/>
        <w:gridCol w:w="963"/>
        <w:gridCol w:w="705"/>
        <w:gridCol w:w="1554"/>
      </w:tblGrid>
      <w:tr w:rsidR="00B900B2" w:rsidTr="004222B3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2" w:rsidRPr="00B900B2" w:rsidRDefault="00B900B2" w:rsidP="00422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Халықаралық</w:t>
            </w:r>
            <w:proofErr w:type="spellEnd"/>
            <w:r w:rsidRPr="00B90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конкурстар</w:t>
            </w:r>
            <w:proofErr w:type="spellEnd"/>
            <w:r w:rsidRPr="00B90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0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2" w:rsidRPr="00B900B2" w:rsidRDefault="00B900B2" w:rsidP="00422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Республикалық</w:t>
            </w:r>
            <w:proofErr w:type="spellEnd"/>
            <w:r w:rsidRPr="00B90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конкурстар</w:t>
            </w:r>
            <w:proofErr w:type="spellEnd"/>
            <w:r w:rsidRPr="00B90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0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2" w:rsidRPr="00B900B2" w:rsidRDefault="00B900B2" w:rsidP="00422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Облыстық</w:t>
            </w:r>
            <w:proofErr w:type="spellEnd"/>
            <w:r w:rsidRPr="00B90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конкурстар</w:t>
            </w:r>
            <w:proofErr w:type="spellEnd"/>
            <w:r w:rsidRPr="00B90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0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2" w:rsidRPr="00B900B2" w:rsidRDefault="00B900B2" w:rsidP="004222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0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Қалалық</w:t>
            </w:r>
            <w:proofErr w:type="spellEnd"/>
            <w:r w:rsidRPr="00B90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0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конкурстар</w:t>
            </w:r>
            <w:proofErr w:type="spellEnd"/>
            <w:r w:rsidRPr="00B90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90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олимпиадалар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2" w:rsidRDefault="00B900B2" w:rsidP="00422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ОППО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2" w:rsidRDefault="00B900B2" w:rsidP="00422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ГЭС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2" w:rsidRPr="00B900B2" w:rsidRDefault="00B900B2" w:rsidP="00422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0B2">
              <w:rPr>
                <w:rFonts w:ascii="Arial" w:hAnsi="Arial" w:cs="Arial"/>
                <w:color w:val="000000"/>
                <w:sz w:val="24"/>
                <w:szCs w:val="24"/>
              </w:rPr>
              <w:t>Авторлық</w:t>
            </w:r>
            <w:proofErr w:type="spellEnd"/>
            <w:r w:rsidRPr="00B900B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0B2">
              <w:rPr>
                <w:rFonts w:ascii="Arial" w:hAnsi="Arial" w:cs="Arial"/>
                <w:color w:val="000000"/>
                <w:sz w:val="24"/>
                <w:szCs w:val="24"/>
              </w:rPr>
              <w:t>бағдарлама</w:t>
            </w:r>
            <w:proofErr w:type="spellEnd"/>
          </w:p>
        </w:tc>
      </w:tr>
      <w:tr w:rsidR="00B900B2" w:rsidTr="004222B3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2" w:rsidRDefault="00B900B2" w:rsidP="00422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2" w:rsidRDefault="00B900B2" w:rsidP="00422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2" w:rsidRDefault="00B900B2" w:rsidP="00422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2" w:rsidRDefault="00B900B2" w:rsidP="00422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2" w:rsidRDefault="00B900B2" w:rsidP="00422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2" w:rsidRDefault="00B900B2" w:rsidP="00422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2" w:rsidRDefault="00B900B2" w:rsidP="00422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267D7A" w:rsidRPr="00B900B2" w:rsidRDefault="00267D7A" w:rsidP="00B900B2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sectPr w:rsidR="00267D7A" w:rsidRPr="00B900B2" w:rsidSect="0029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2C4"/>
    <w:rsid w:val="00267D7A"/>
    <w:rsid w:val="00296E20"/>
    <w:rsid w:val="00516F69"/>
    <w:rsid w:val="008012C4"/>
    <w:rsid w:val="00990DA1"/>
    <w:rsid w:val="00A155B9"/>
    <w:rsid w:val="00B900B2"/>
    <w:rsid w:val="00CE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55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Конкурсы</a:t>
            </a:r>
          </a:p>
        </c:rich>
      </c:tx>
      <c:layout/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cat>
            <c:strRef>
              <c:f>Лист1!$A$2:$A$8</c:f>
              <c:strCache>
                <c:ptCount val="7"/>
                <c:pt idx="0">
                  <c:v>международные</c:v>
                </c:pt>
                <c:pt idx="1">
                  <c:v>областные</c:v>
                </c:pt>
                <c:pt idx="2">
                  <c:v>республиканские</c:v>
                </c:pt>
                <c:pt idx="3">
                  <c:v>городские</c:v>
                </c:pt>
                <c:pt idx="4">
                  <c:v>ППО</c:v>
                </c:pt>
                <c:pt idx="5">
                  <c:v>ГЭС</c:v>
                </c:pt>
                <c:pt idx="6">
                  <c:v>Авторская программа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</c:v>
                </c:pt>
                <c:pt idx="1">
                  <c:v>10</c:v>
                </c:pt>
                <c:pt idx="2">
                  <c:v>47</c:v>
                </c:pt>
                <c:pt idx="3">
                  <c:v>10</c:v>
                </c:pt>
                <c:pt idx="4">
                  <c:v>7</c:v>
                </c:pt>
                <c:pt idx="5">
                  <c:v>13</c:v>
                </c:pt>
                <c:pt idx="6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>
              <a:gsLst>
                <a:gs pos="100000">
                  <a:schemeClr val="accent2">
                    <a:alpha val="0"/>
                  </a:schemeClr>
                </a:gs>
                <a:gs pos="50000">
                  <a:schemeClr val="accent2"/>
                </a:gs>
              </a:gsLst>
              <a:lin ang="5400000" scaled="0"/>
            </a:gradFill>
            <a:ln>
              <a:noFill/>
            </a:ln>
            <a:effectLst/>
            <a:sp3d/>
          </c:spPr>
          <c:cat>
            <c:strRef>
              <c:f>Лист1!$A$2:$A$8</c:f>
              <c:strCache>
                <c:ptCount val="7"/>
                <c:pt idx="0">
                  <c:v>международные</c:v>
                </c:pt>
                <c:pt idx="1">
                  <c:v>областные</c:v>
                </c:pt>
                <c:pt idx="2">
                  <c:v>республиканские</c:v>
                </c:pt>
                <c:pt idx="3">
                  <c:v>городские</c:v>
                </c:pt>
                <c:pt idx="4">
                  <c:v>ППО</c:v>
                </c:pt>
                <c:pt idx="5">
                  <c:v>ГЭС</c:v>
                </c:pt>
                <c:pt idx="6">
                  <c:v>Авторская программа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5400000" scaled="0"/>
            </a:gradFill>
            <a:ln>
              <a:noFill/>
            </a:ln>
            <a:effectLst/>
            <a:sp3d/>
          </c:spPr>
          <c:cat>
            <c:strRef>
              <c:f>Лист1!$A$2:$A$8</c:f>
              <c:strCache>
                <c:ptCount val="7"/>
                <c:pt idx="0">
                  <c:v>международные</c:v>
                </c:pt>
                <c:pt idx="1">
                  <c:v>областные</c:v>
                </c:pt>
                <c:pt idx="2">
                  <c:v>республиканские</c:v>
                </c:pt>
                <c:pt idx="3">
                  <c:v>городские</c:v>
                </c:pt>
                <c:pt idx="4">
                  <c:v>ППО</c:v>
                </c:pt>
                <c:pt idx="5">
                  <c:v>ГЭС</c:v>
                </c:pt>
                <c:pt idx="6">
                  <c:v>Авторская программа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3">
                  <c:v>5</c:v>
                </c:pt>
              </c:numCache>
            </c:numRef>
          </c:val>
        </c:ser>
        <c:gapDepth val="0"/>
        <c:shape val="box"/>
        <c:axId val="51675136"/>
        <c:axId val="51676672"/>
        <c:axId val="98056832"/>
      </c:bar3DChart>
      <c:catAx>
        <c:axId val="516751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676672"/>
        <c:crosses val="autoZero"/>
        <c:auto val="1"/>
        <c:lblAlgn val="ctr"/>
        <c:lblOffset val="100"/>
      </c:catAx>
      <c:valAx>
        <c:axId val="516766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675136"/>
        <c:crosses val="autoZero"/>
        <c:crossBetween val="between"/>
      </c:valAx>
      <c:serAx>
        <c:axId val="98056832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676672"/>
        <c:crosses val="autoZero"/>
      </c:ser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accent5">
          <a:lumMod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dcterms:created xsi:type="dcterms:W3CDTF">2020-05-20T05:51:00Z</dcterms:created>
  <dcterms:modified xsi:type="dcterms:W3CDTF">2020-05-20T05:51:00Z</dcterms:modified>
</cp:coreProperties>
</file>